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ind w:firstLine="643" w:firstLineChars="200"/>
        <w:rPr>
          <w:rFonts w:hint="eastAsia" w:ascii="仿宋" w:hAnsi="仿宋" w:eastAsia="仿宋" w:cs="仿宋"/>
          <w:b/>
          <w:bCs w:val="0"/>
          <w:szCs w:val="32"/>
          <w:lang w:val="zh-CN"/>
        </w:rPr>
      </w:pPr>
      <w:r>
        <w:rPr>
          <w:rFonts w:hint="eastAsia" w:ascii="仿宋" w:hAnsi="仿宋" w:eastAsia="仿宋" w:cs="仿宋"/>
          <w:b/>
          <w:bCs w:val="0"/>
          <w:szCs w:val="32"/>
          <w:lang w:val="zh-CN"/>
        </w:rPr>
        <w:t>八、关于20</w:t>
      </w:r>
      <w:r>
        <w:rPr>
          <w:rFonts w:hint="eastAsia" w:ascii="仿宋" w:hAnsi="仿宋" w:eastAsia="仿宋" w:cs="仿宋"/>
          <w:b/>
          <w:bCs w:val="0"/>
          <w:szCs w:val="32"/>
        </w:rPr>
        <w:t>21</w:t>
      </w:r>
      <w:r>
        <w:rPr>
          <w:rFonts w:hint="eastAsia" w:ascii="仿宋" w:hAnsi="仿宋" w:eastAsia="仿宋" w:cs="仿宋"/>
          <w:b/>
          <w:bCs w:val="0"/>
          <w:szCs w:val="32"/>
          <w:lang w:val="zh-CN"/>
        </w:rPr>
        <w:t>年度预算绩效情况的说明</w:t>
      </w:r>
    </w:p>
    <w:p>
      <w:pPr>
        <w:pStyle w:val="4"/>
        <w:spacing w:line="240" w:lineRule="auto"/>
        <w:rPr>
          <w:rFonts w:hint="eastAsia" w:ascii="仿宋" w:hAnsi="仿宋" w:eastAsia="仿宋" w:cs="仿宋"/>
          <w:b/>
          <w:bCs w:val="0"/>
          <w:szCs w:val="32"/>
        </w:rPr>
      </w:pPr>
      <w:r>
        <w:rPr>
          <w:rFonts w:hint="eastAsia" w:ascii="仿宋" w:hAnsi="仿宋" w:eastAsia="仿宋" w:cs="仿宋"/>
          <w:b/>
          <w:bCs w:val="0"/>
          <w:szCs w:val="32"/>
        </w:rPr>
        <w:t>（一）预算绩效管理工作开展情况</w:t>
      </w:r>
    </w:p>
    <w:p>
      <w:pPr>
        <w:ind w:firstLine="64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t>根据预算绩效管理要求，我院组织对2021年度一般公共预算项目支出全面开展绩效自评，共涉及项目2个，资金299.76万元，占一般公共预算项目支出总额的87.64%。从评价情况来看，项目符合国家政策，立项规范，绩效目标设置较为合理，项目实施规范有序，产出指标和效果指标完成情况较好，社会效益较为显著，达到预期目标。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组织开展部门整体支出绩效评价，评价情况来看，2021年度的预算编制基本合理，预算执行严格有效，严格遵守国库集中支付制度，严格执行各项财经法规和会计制度，产出及效益成果显著。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(《</w:t>
      </w:r>
      <w:r>
        <w:rPr>
          <w:rFonts w:hint="eastAsia" w:ascii="仿宋" w:hAnsi="仿宋" w:eastAsia="仿宋" w:cs="仿宋"/>
        </w:rPr>
        <w:t>2021年度部门整体支出绩效自评表》</w:t>
      </w:r>
      <w:r>
        <w:rPr>
          <w:rFonts w:hint="eastAsia" w:ascii="仿宋" w:hAnsi="仿宋" w:eastAsia="仿宋" w:cs="仿宋"/>
          <w:szCs w:val="32"/>
        </w:rPr>
        <w:t>见附件1)</w:t>
      </w:r>
    </w:p>
    <w:p>
      <w:pPr>
        <w:pStyle w:val="4"/>
        <w:spacing w:line="240" w:lineRule="auto"/>
        <w:rPr>
          <w:rFonts w:ascii="Times New Roman" w:hAnsi="Times New Roman" w:cs="楷体"/>
          <w:b/>
          <w:bCs/>
          <w:szCs w:val="32"/>
        </w:rPr>
      </w:pPr>
      <w:r>
        <w:rPr>
          <w:rFonts w:hint="eastAsia" w:ascii="Times New Roman" w:hAnsi="Times New Roman" w:cs="楷体"/>
          <w:b/>
          <w:bCs/>
          <w:szCs w:val="32"/>
        </w:rPr>
        <w:t>（二）部门决算中项目绩效自评结果</w:t>
      </w:r>
      <w:r>
        <w:rPr>
          <w:rFonts w:ascii="Times New Roman" w:hAnsi="Times New Roman" w:cs="楷体"/>
          <w:b/>
          <w:bCs/>
          <w:szCs w:val="32"/>
        </w:rPr>
        <w:t xml:space="preserve"> 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我院今年在部门决算中反映所有项目绩效自评结果（涉密项目除外）。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1.2021年度办案业务专项经费项目绩效自评综述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项目全年预算数为237.2万元，执行数为237.2万元，完成预算100%。主要产出和效益：一是</w:t>
      </w:r>
      <w:r>
        <w:rPr>
          <w:rFonts w:hint="eastAsia" w:ascii="仿宋" w:hAnsi="仿宋" w:eastAsia="仿宋" w:cs="仿宋"/>
          <w:bCs/>
          <w:szCs w:val="32"/>
        </w:rPr>
        <w:t>法定审限内案件结案率为98.07%；二是各类案件审理结案率99.67%；三是网络信访回复率为100%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发现的问题及原因:存在部分绩效指标设置不合理，目标值设置准确性有待提高的问题。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下一步改进措施：加大预算绩效管理力度，提升全院参与预算绩效管理的意识，提高绩效目标的科学性，体现出绩效目标对项目实施的考核作用。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2.2021年度房屋维修专项经费项目绩效自评综述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项目全年预算数为103.5万元，执行数为</w:t>
      </w:r>
      <w:r>
        <w:rPr>
          <w:rFonts w:hint="eastAsia" w:ascii="仿宋" w:hAnsi="仿宋" w:eastAsia="仿宋" w:cs="仿宋"/>
          <w:bCs/>
          <w:szCs w:val="32"/>
        </w:rPr>
        <w:t>62.56</w:t>
      </w:r>
      <w:r>
        <w:rPr>
          <w:rFonts w:hint="eastAsia" w:ascii="仿宋" w:hAnsi="仿宋" w:eastAsia="仿宋" w:cs="仿宋"/>
          <w:szCs w:val="32"/>
        </w:rPr>
        <w:t>万元，完成预算</w:t>
      </w:r>
      <w:r>
        <w:rPr>
          <w:rFonts w:hint="eastAsia" w:ascii="仿宋" w:hAnsi="仿宋" w:eastAsia="仿宋" w:cs="仿宋"/>
          <w:bCs/>
          <w:szCs w:val="32"/>
        </w:rPr>
        <w:t>60.4%</w:t>
      </w:r>
      <w:r>
        <w:rPr>
          <w:rFonts w:hint="eastAsia" w:ascii="仿宋" w:hAnsi="仿宋" w:eastAsia="仿宋" w:cs="仿宋"/>
          <w:szCs w:val="32"/>
        </w:rPr>
        <w:t>。主要产出和效益：一是按照工程进度稳步推进“两庭”建设，确保主体工程大部分完成；二是</w:t>
      </w:r>
      <w:r>
        <w:rPr>
          <w:rFonts w:hint="eastAsia" w:ascii="仿宋" w:hAnsi="仿宋" w:eastAsia="仿宋" w:cs="仿宋"/>
          <w:bCs/>
          <w:szCs w:val="32"/>
        </w:rPr>
        <w:t>工程安全事故为零，</w:t>
      </w:r>
      <w:r>
        <w:rPr>
          <w:rFonts w:hint="eastAsia" w:ascii="仿宋" w:hAnsi="仿宋" w:eastAsia="仿宋" w:cs="仿宋"/>
          <w:szCs w:val="32"/>
        </w:rPr>
        <w:t xml:space="preserve">本项目基本完成了年初设定的目标，社会效益较为显著，达到预期目标。 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发现的问题及原因：预算编制的科学性、前瞻性和准确性有待进一步提升，因新冠疫情</w:t>
      </w:r>
      <w:r>
        <w:rPr>
          <w:rFonts w:hint="eastAsia" w:ascii="仿宋" w:hAnsi="仿宋" w:eastAsia="仿宋" w:cs="仿宋"/>
          <w:szCs w:val="32"/>
          <w:lang w:eastAsia="zh-CN"/>
        </w:rPr>
        <w:t>影响</w:t>
      </w:r>
      <w:r>
        <w:rPr>
          <w:rFonts w:hint="eastAsia" w:ascii="仿宋" w:hAnsi="仿宋" w:eastAsia="仿宋" w:cs="仿宋"/>
          <w:szCs w:val="32"/>
        </w:rPr>
        <w:t>工期，</w:t>
      </w:r>
      <w:r>
        <w:rPr>
          <w:rFonts w:hint="eastAsia" w:ascii="仿宋" w:hAnsi="仿宋" w:eastAsia="仿宋" w:cs="仿宋"/>
          <w:szCs w:val="32"/>
          <w:lang w:eastAsia="zh-CN"/>
        </w:rPr>
        <w:t>没有按照年初计划</w:t>
      </w:r>
      <w:r>
        <w:rPr>
          <w:rFonts w:hint="eastAsia" w:ascii="仿宋" w:hAnsi="仿宋" w:eastAsia="仿宋" w:cs="仿宋"/>
          <w:szCs w:val="32"/>
        </w:rPr>
        <w:t>完工。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下一步改进措施：科学合理测评项目所需预算资金规模，强化预算编制与执行的匹配性，切实抓好预算执行。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(《</w:t>
      </w:r>
      <w:r>
        <w:rPr>
          <w:rFonts w:hint="eastAsia" w:ascii="仿宋" w:hAnsi="仿宋" w:eastAsia="仿宋" w:cs="仿宋"/>
        </w:rPr>
        <w:t>2021年度项目绩效自评表》</w:t>
      </w:r>
      <w:r>
        <w:rPr>
          <w:rFonts w:hint="eastAsia" w:ascii="仿宋" w:hAnsi="仿宋" w:eastAsia="仿宋" w:cs="仿宋"/>
          <w:szCs w:val="32"/>
        </w:rPr>
        <w:t>见附件2)</w:t>
      </w:r>
    </w:p>
    <w:p>
      <w:pPr>
        <w:pStyle w:val="4"/>
        <w:spacing w:line="240" w:lineRule="auto"/>
        <w:rPr>
          <w:rFonts w:ascii="Times New Roman" w:hAnsi="Times New Roman" w:cs="楷体"/>
          <w:b/>
          <w:bCs/>
          <w:szCs w:val="32"/>
        </w:rPr>
      </w:pPr>
      <w:r>
        <w:rPr>
          <w:rFonts w:hint="eastAsia" w:ascii="Times New Roman" w:hAnsi="Times New Roman" w:cs="楷体"/>
          <w:b/>
          <w:bCs/>
          <w:szCs w:val="32"/>
        </w:rPr>
        <w:t>（三）绩效评价结果应用情况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1.部门绩效评价结果应用情况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通过对2021年办案业务及“两庭”建设专项经费项目进行绩效自评，年初设定各项指标及目标基本完成。下一步将继续做好各项项目管理工作，将更加严格按照项目预算中各项指标来完成，充分发挥办案业务及“两庭”建设专项经费等项目在法院日常审判执行工作中的保障作用。</w:t>
      </w:r>
    </w:p>
    <w:p>
      <w:pPr>
        <w:pStyle w:val="4"/>
        <w:spacing w:line="24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2.部门绩效评价结果拟应用情况</w:t>
      </w:r>
    </w:p>
    <w:p>
      <w:p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根据绩效结果，进一步提高全院对预算绩效管理工作的认识和重视程度，将绩效评价结果作为下年度资金安排、预算编制、绩效目标调整的重要依据，促进预算资金合理分配，进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一步优化资源配置，提高资金使用效益。</w:t>
      </w:r>
    </w:p>
    <w:p>
      <w:pPr>
        <w:pStyle w:val="4"/>
        <w:spacing w:line="240" w:lineRule="auto"/>
        <w:ind w:firstLine="0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spacing w:line="240" w:lineRule="auto"/>
        <w:ind w:firstLine="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小标宋简体" w:eastAsia="方正小标宋简体"/>
          <w:color w:val="000000"/>
          <w:kern w:val="0"/>
          <w:sz w:val="30"/>
          <w:szCs w:val="30"/>
          <w:lang w:bidi="ar"/>
        </w:rPr>
        <w:t>2021年度</w:t>
      </w:r>
      <w:r>
        <w:rPr>
          <w:rFonts w:hint="eastAsia" w:ascii="方正小标宋简体" w:eastAsia="方正小标宋简体"/>
          <w:color w:val="000000"/>
          <w:kern w:val="0"/>
          <w:sz w:val="30"/>
          <w:szCs w:val="30"/>
          <w:lang w:eastAsia="zh-CN" w:bidi="ar"/>
        </w:rPr>
        <w:t>鄂州市梁子湖区</w:t>
      </w:r>
      <w:r>
        <w:rPr>
          <w:rFonts w:hint="eastAsia" w:ascii="方正小标宋简体" w:eastAsia="方正小标宋简体"/>
          <w:color w:val="000000"/>
          <w:kern w:val="0"/>
          <w:sz w:val="30"/>
          <w:szCs w:val="30"/>
          <w:lang w:bidi="ar"/>
        </w:rPr>
        <w:t>人民法院部门整体支出绩效自评表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48"/>
          <w:szCs w:val="4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单位名称： 鄂州市梁子湖区人民法院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</w:t>
      </w:r>
      <w:r>
        <w:rPr>
          <w:rFonts w:eastAsia="楷体_GB2312"/>
          <w:kern w:val="0"/>
          <w:sz w:val="28"/>
          <w:szCs w:val="28"/>
        </w:rPr>
        <w:t>填报日期：</w:t>
      </w:r>
      <w:r>
        <w:rPr>
          <w:rFonts w:hint="eastAsia" w:eastAsia="楷体_GB2312"/>
          <w:kern w:val="0"/>
          <w:sz w:val="28"/>
          <w:szCs w:val="28"/>
        </w:rPr>
        <w:t>2021年4月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鄂州市梁子湖区人民法院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731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644.32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预算执行情况（万元）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（20分）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预算数（A）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执行数（B）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执行率（B/A）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得分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1025.52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983.75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95.93%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年度目标1：（40分）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发挥法院职能作用，办理好各类案件、集中处理涉讼信访及群体性事件。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年初目标值（A）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实际完成值（B）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案件结案率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tabs>
                <w:tab w:val="left" w:pos="510"/>
              </w:tabs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>95.5%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99.67%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网络信访回复率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ind w:firstLine="210" w:firstLineChars="100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年度目标2：（40分）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提高各类案件的执行率，加大化解“执行难”力度，转变执行作风，规范执行行为和队伍建设。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年初目标值（A）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实际完成值（B）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年底计划工作完成率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tabs>
                <w:tab w:val="left" w:pos="510"/>
              </w:tabs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>96%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96%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保护当事人合法权益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保障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保障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全年目标完成较好，均达到目标值.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下一步将继续保持2021年度该项目管理的先进做法，在本年度继续做好各项项目管理工作。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</w:tr>
    </w:tbl>
    <w:p>
      <w:pPr>
        <w:widowControl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1.预算执行情况口径：预算数为调整后财政资金总额（包括上年结余结转），执行数为资金使用单位财政资金实际支出数。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2.定量指标完成数汇总原则：绝对值直接累加计算，相对值按照资金额度加权平均计算。定量指标计分原则：正向指标（即目标值为≥X,得分=权重*B/A），反向指标（即目标值为≤X，得分=权重*A/B），得分不得突破权重总额。定量指标先汇总完成数，再计算得分。</w:t>
      </w:r>
    </w:p>
    <w:p>
      <w:pPr>
        <w:widowControl/>
        <w:ind w:firstLine="400" w:firstLineChars="200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</w:r>
    </w:p>
    <w:p>
      <w:pPr>
        <w:widowControl/>
        <w:ind w:firstLine="400" w:firstLineChars="200"/>
        <w:rPr>
          <w:rFonts w:hint="eastAsia" w:ascii="仿宋" w:hAnsi="仿宋" w:eastAsia="仿宋" w:cs="仿宋"/>
          <w:kern w:val="0"/>
          <w:sz w:val="20"/>
          <w:szCs w:val="20"/>
        </w:rPr>
      </w:pPr>
      <w:r>
        <w:rPr>
          <w:rFonts w:hint="eastAsia" w:ascii="仿宋" w:hAnsi="仿宋" w:eastAsia="仿宋" w:cs="仿宋"/>
          <w:kern w:val="0"/>
          <w:sz w:val="20"/>
          <w:szCs w:val="20"/>
        </w:rPr>
        <w:t>4.基于经济性和必要性等因素考虑，满意度指标暂可不作为必评指标。</w:t>
      </w:r>
    </w:p>
    <w:p>
      <w:pPr>
        <w:rPr>
          <w:rFonts w:hint="eastAsia" w:ascii="仿宋" w:hAnsi="仿宋" w:eastAsia="仿宋" w:cs="仿宋"/>
        </w:rPr>
      </w:pPr>
    </w:p>
    <w:p>
      <w:pPr>
        <w:pStyle w:val="4"/>
        <w:spacing w:line="240" w:lineRule="auto"/>
        <w:ind w:firstLine="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widowControl/>
        <w:jc w:val="center"/>
        <w:rPr>
          <w:rFonts w:eastAsia="等线"/>
          <w:sz w:val="21"/>
        </w:rPr>
      </w:pPr>
      <w:r>
        <w:rPr>
          <w:rFonts w:eastAsia="方正小标宋简体"/>
          <w:sz w:val="36"/>
          <w:szCs w:val="36"/>
        </w:rPr>
        <w:t>2021年度办案业务专项经费项目自评表</w:t>
      </w:r>
    </w:p>
    <w:p>
      <w:pPr>
        <w:jc w:val="center"/>
        <w:rPr>
          <w:rFonts w:hint="eastAsia" w:ascii="仿宋" w:hAnsi="仿宋" w:eastAsia="仿宋" w:cs="仿宋"/>
          <w:b/>
          <w:bCs/>
          <w:sz w:val="21"/>
        </w:rPr>
      </w:pPr>
    </w:p>
    <w:p>
      <w:pPr>
        <w:widowControl/>
        <w:jc w:val="left"/>
        <w:rPr>
          <w:rFonts w:hint="eastAsia" w:ascii="仿宋" w:hAnsi="仿宋" w:eastAsia="仿宋" w:cs="仿宋"/>
          <w:kern w:val="0"/>
          <w:sz w:val="48"/>
          <w:szCs w:val="48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单位名称：鄂州市梁子湖区人民法院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</w:t>
      </w:r>
      <w:r>
        <w:rPr>
          <w:kern w:val="0"/>
          <w:sz w:val="21"/>
        </w:rPr>
        <w:t xml:space="preserve"> 填报日期：2022年4月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鄂州市梁子湖区人民法院办案业务专项经费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鄂州市梁子湖区人民法院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1、部门预算项目   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   2、省直专项   □  3、省对下转移支付项目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1、持续性项目     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1、常年性项目     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   2、延续性项目 □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（20分）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预算数（A）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执行数（B）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执行率（B/A）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237.2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237.2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（40分）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年初目标值（A）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实际完成值（B）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网络信访回复率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年度绩效目标2（40分）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法定期限内案件结案率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98%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98.07%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各类案件审理结案率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99.67%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全年目标完成较好，均达到目标值.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下一步将继续保持2021年度该项目管理的先进做法，在本年度继续做好各项项目管理工作。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</w:tr>
    </w:tbl>
    <w:p>
      <w:pPr>
        <w:widowControl/>
        <w:rPr>
          <w:rFonts w:hint="eastAsia" w:ascii="仿宋" w:hAnsi="仿宋" w:eastAsia="仿宋" w:cs="仿宋"/>
          <w:kern w:val="0"/>
          <w:sz w:val="21"/>
        </w:rPr>
      </w:pPr>
      <w:r>
        <w:rPr>
          <w:rFonts w:hint="eastAsia" w:ascii="仿宋" w:hAnsi="仿宋" w:eastAsia="仿宋" w:cs="仿宋"/>
          <w:kern w:val="0"/>
          <w:sz w:val="21"/>
        </w:rPr>
        <w:t>备注：</w:t>
      </w:r>
    </w:p>
    <w:p>
      <w:pPr>
        <w:widowControl/>
        <w:ind w:firstLine="420" w:firstLineChars="200"/>
        <w:rPr>
          <w:rFonts w:hint="eastAsia" w:ascii="仿宋" w:hAnsi="仿宋" w:eastAsia="仿宋" w:cs="仿宋"/>
          <w:kern w:val="0"/>
          <w:sz w:val="21"/>
        </w:rPr>
      </w:pPr>
      <w:r>
        <w:rPr>
          <w:rFonts w:hint="eastAsia" w:ascii="仿宋" w:hAnsi="仿宋" w:eastAsia="仿宋" w:cs="仿宋"/>
          <w:kern w:val="0"/>
          <w:sz w:val="21"/>
        </w:rPr>
        <w:t>1.预算执行情况口径：预算数为调整后财政资金总额（包括上年结余结转），执行数为资金使用单位财政资金实际支出数。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hint="eastAsia" w:ascii="仿宋" w:hAnsi="仿宋" w:eastAsia="仿宋" w:cs="仿宋"/>
          <w:kern w:val="0"/>
          <w:sz w:val="21"/>
        </w:rPr>
      </w:pPr>
      <w:r>
        <w:rPr>
          <w:rFonts w:hint="eastAsia" w:ascii="仿宋" w:hAnsi="仿宋" w:eastAsia="仿宋" w:cs="仿宋"/>
          <w:kern w:val="0"/>
          <w:sz w:val="21"/>
        </w:rPr>
        <w:t>2.定量指标完成数汇总原则：绝对值直接累加计算，相对值按照资金额度加权平均计算。定量指标计分原则：正向指标（即目标值为≥X,得分=权重*B/A），反向指标（即目标值为≤X，得分=权重*A/B）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" w:hAnsi="仿宋" w:eastAsia="仿宋" w:cs="仿宋"/>
          <w:kern w:val="0"/>
          <w:sz w:val="21"/>
        </w:rPr>
      </w:pPr>
      <w:r>
        <w:rPr>
          <w:rFonts w:hint="eastAsia" w:ascii="仿宋" w:hAnsi="仿宋" w:eastAsia="仿宋" w:cs="仿宋"/>
          <w:kern w:val="0"/>
          <w:sz w:val="21"/>
        </w:rPr>
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</w:r>
    </w:p>
    <w:p>
      <w:pPr>
        <w:widowControl/>
        <w:ind w:firstLine="420" w:firstLineChars="200"/>
        <w:rPr>
          <w:rFonts w:hint="eastAsia" w:ascii="仿宋" w:hAnsi="仿宋" w:eastAsia="仿宋" w:cs="仿宋"/>
          <w:kern w:val="0"/>
          <w:sz w:val="21"/>
        </w:rPr>
      </w:pPr>
      <w:r>
        <w:rPr>
          <w:rFonts w:hint="eastAsia" w:ascii="仿宋" w:hAnsi="仿宋" w:eastAsia="仿宋" w:cs="仿宋"/>
          <w:kern w:val="0"/>
          <w:sz w:val="21"/>
        </w:rPr>
        <w:t>4.基于经济性和必要性等因素考虑，满意度指标暂可不作为必评指标。</w:t>
      </w:r>
    </w:p>
    <w:p>
      <w:pPr>
        <w:rPr>
          <w:rFonts w:hint="eastAsia" w:ascii="仿宋" w:hAnsi="仿宋" w:eastAsia="仿宋" w:cs="仿宋"/>
          <w:szCs w:val="32"/>
        </w:rPr>
      </w:pPr>
    </w:p>
    <w:p>
      <w:pPr>
        <w:widowControl/>
        <w:jc w:val="center"/>
        <w:rPr>
          <w:rFonts w:eastAsia="等线"/>
          <w:sz w:val="21"/>
        </w:rPr>
      </w:pPr>
      <w:r>
        <w:rPr>
          <w:rFonts w:eastAsia="方正小标宋简体"/>
          <w:sz w:val="36"/>
          <w:szCs w:val="36"/>
        </w:rPr>
        <w:t>2021年度“两庭”</w:t>
      </w:r>
      <w:r>
        <w:rPr>
          <w:rFonts w:hint="eastAsia" w:eastAsia="方正小标宋简体"/>
          <w:sz w:val="36"/>
          <w:szCs w:val="36"/>
        </w:rPr>
        <w:t>建设</w:t>
      </w:r>
      <w:r>
        <w:rPr>
          <w:rFonts w:eastAsia="方正小标宋简体"/>
          <w:sz w:val="36"/>
          <w:szCs w:val="36"/>
        </w:rPr>
        <w:t>（修缮）专项经费项目自评表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单位名称：鄂州市梁子湖区人民法院       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21"/>
          <w:szCs w:val="21"/>
        </w:rPr>
        <w:t xml:space="preserve"> 填报日期：2022年4月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鄂州市梁子湖区人民法院房屋维修专项经费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鄂州市梁子湖区人民法院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1、部门预算项目   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   2、省直专项   □  3、省对下转移支付项目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1、持续性项目      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   2、新增性项目 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1、常年性项目     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 xml:space="preserve">   2、延续性项目 □      3、一次性项目 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（20分）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预算数（A）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执行数（B）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执行率（B/A）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103.5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62.56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60.44%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年度绩效目标1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（40分）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年初目标值（A）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实际完成值（B）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社会效益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工程安全事故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年度绩效目标2（40分）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工程项目按计划完成率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80%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84.09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偏差大或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目标未完成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全年目标完成较好，</w:t>
            </w:r>
            <w:r>
              <w:rPr>
                <w:rFonts w:hint="eastAsia" w:ascii="仿宋" w:hAnsi="仿宋" w:eastAsia="仿宋" w:cs="仿宋"/>
                <w:kern w:val="0"/>
                <w:sz w:val="21"/>
                <w:lang w:eastAsia="zh-CN"/>
              </w:rPr>
              <w:t>其中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>工程项目按计划完成率</w:t>
            </w:r>
            <w:r>
              <w:rPr>
                <w:rFonts w:hint="eastAsia" w:ascii="仿宋" w:hAnsi="仿宋" w:eastAsia="仿宋" w:cs="仿宋"/>
                <w:kern w:val="0"/>
                <w:sz w:val="21"/>
                <w:lang w:eastAsia="zh-CN"/>
              </w:rPr>
              <w:t>没有达到年初目标值主要原因是新冠疫情影响工期，故未能如期完工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改进措施及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下一步将继续做好各项项目管理工作</w:t>
            </w:r>
            <w:r>
              <w:rPr>
                <w:rFonts w:hint="eastAsia" w:ascii="仿宋" w:hAnsi="仿宋" w:eastAsia="仿宋" w:cs="仿宋"/>
                <w:kern w:val="0"/>
                <w:sz w:val="21"/>
                <w:lang w:eastAsia="zh-CN"/>
              </w:rPr>
              <w:t>，加推进法庭维修项目进度确保项目顺利完工，</w:t>
            </w:r>
            <w:r>
              <w:rPr>
                <w:rFonts w:hint="eastAsia" w:ascii="仿宋" w:hAnsi="仿宋" w:eastAsia="仿宋" w:cs="仿宋"/>
                <w:kern w:val="0"/>
                <w:sz w:val="21"/>
              </w:rPr>
              <w:t>提高资金使用效率。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</w:rPr>
            </w:pPr>
          </w:p>
        </w:tc>
      </w:tr>
    </w:tbl>
    <w:p>
      <w:pPr>
        <w:widowControl/>
        <w:rPr>
          <w:rFonts w:hint="eastAsia" w:ascii="仿宋" w:hAnsi="仿宋" w:eastAsia="仿宋" w:cs="仿宋"/>
          <w:kern w:val="0"/>
          <w:sz w:val="21"/>
        </w:rPr>
      </w:pPr>
      <w:r>
        <w:rPr>
          <w:rFonts w:hint="eastAsia" w:ascii="仿宋" w:hAnsi="仿宋" w:eastAsia="仿宋" w:cs="仿宋"/>
          <w:kern w:val="0"/>
          <w:sz w:val="21"/>
        </w:rPr>
        <w:t>备注：</w:t>
      </w:r>
    </w:p>
    <w:p>
      <w:pPr>
        <w:widowControl/>
        <w:ind w:firstLine="420" w:firstLineChars="200"/>
        <w:rPr>
          <w:rFonts w:hint="eastAsia" w:ascii="仿宋" w:hAnsi="仿宋" w:eastAsia="仿宋" w:cs="仿宋"/>
          <w:kern w:val="0"/>
          <w:sz w:val="21"/>
        </w:rPr>
      </w:pPr>
      <w:r>
        <w:rPr>
          <w:rFonts w:hint="eastAsia" w:ascii="仿宋" w:hAnsi="仿宋" w:eastAsia="仿宋" w:cs="仿宋"/>
          <w:kern w:val="0"/>
          <w:sz w:val="21"/>
        </w:rPr>
        <w:t>1.预算执行情况口径：预算数为调整后财政资金总额（包括上年结余结转），执行数为资金使用单位财政资金实际支出数。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hint="eastAsia" w:ascii="仿宋" w:hAnsi="仿宋" w:eastAsia="仿宋" w:cs="仿宋"/>
          <w:kern w:val="0"/>
          <w:sz w:val="21"/>
        </w:rPr>
      </w:pPr>
      <w:r>
        <w:rPr>
          <w:rFonts w:hint="eastAsia" w:ascii="仿宋" w:hAnsi="仿宋" w:eastAsia="仿宋" w:cs="仿宋"/>
          <w:kern w:val="0"/>
          <w:sz w:val="21"/>
        </w:rPr>
        <w:t>2.定量指标完成数汇总原则：绝对值直接累加计算，相对值按照资金额度加权平均计算。定量指标计分原则：正向指标（即目标值为≥X,得分=权重*B/A），反向指标（即目标值为≤X，得分=权重*A/B），得分不得突破权重总额。定量指标先汇总完成数，再计算得分。</w:t>
      </w:r>
    </w:p>
    <w:p>
      <w:pPr>
        <w:widowControl/>
        <w:ind w:firstLine="420" w:firstLineChars="200"/>
        <w:rPr>
          <w:rFonts w:hint="eastAsia" w:ascii="仿宋" w:hAnsi="仿宋" w:eastAsia="仿宋" w:cs="仿宋"/>
          <w:kern w:val="0"/>
          <w:sz w:val="21"/>
        </w:rPr>
      </w:pPr>
      <w:r>
        <w:rPr>
          <w:rFonts w:hint="eastAsia" w:ascii="仿宋" w:hAnsi="仿宋" w:eastAsia="仿宋" w:cs="仿宋"/>
          <w:kern w:val="0"/>
          <w:sz w:val="21"/>
        </w:rPr>
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</w:r>
    </w:p>
    <w:p>
      <w:r>
        <w:rPr>
          <w:rFonts w:hint="eastAsia" w:ascii="仿宋" w:hAnsi="仿宋" w:eastAsia="仿宋" w:cs="仿宋"/>
          <w:kern w:val="0"/>
          <w:sz w:val="21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73B12"/>
    <w:rsid w:val="4CE94F11"/>
    <w:rsid w:val="56E3404C"/>
    <w:rsid w:val="5FAA2287"/>
    <w:rsid w:val="5FF21B1D"/>
    <w:rsid w:val="6020403C"/>
    <w:rsid w:val="639721E5"/>
    <w:rsid w:val="7AB7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2022-09-05T01:11:00Z</dcterms:created>
  <dc:creator>Administrator</dc:creator>
  <cp:lastModifiedBy>Administrator</cp:lastModifiedBy>
  <dcterms:modified xsi:type="dcterms:W3CDTF">2022-09-07T08:11:49Z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